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FC04" w14:textId="77777777" w:rsidR="00D16AA6" w:rsidRPr="00FE728A" w:rsidRDefault="00D16AA6" w:rsidP="00D16AA6">
      <w:pPr>
        <w:ind w:left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II ROKU APLIKACJI NOTARIALNEJ (NABÓR 2022)</w:t>
      </w:r>
    </w:p>
    <w:p w14:paraId="45670A4E" w14:textId="77777777" w:rsidR="00D16AA6" w:rsidRPr="00FE728A" w:rsidRDefault="00D16AA6" w:rsidP="00D16AA6">
      <w:pPr>
        <w:ind w:left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Pr="00FE728A">
        <w:rPr>
          <w:b/>
          <w:bCs/>
          <w:i/>
          <w:iCs/>
        </w:rPr>
        <w:t>RIN w Szczecinie)</w:t>
      </w:r>
    </w:p>
    <w:p w14:paraId="1D033EE9" w14:textId="77777777" w:rsidR="00D16AA6" w:rsidRPr="00FE728A" w:rsidRDefault="00D16AA6" w:rsidP="00D16AA6">
      <w:pPr>
        <w:pStyle w:val="Akapitzlist"/>
        <w:tabs>
          <w:tab w:val="left" w:pos="567"/>
        </w:tabs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D16AA6" w:rsidRPr="00C4719C" w14:paraId="5D06D350" w14:textId="77777777" w:rsidTr="00E34121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20912BB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DDD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932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3CCD5" w14:textId="77777777" w:rsidR="00D16AA6" w:rsidRPr="00C4719C" w:rsidRDefault="00D16AA6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5FD0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8630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C2F4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E9CE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D16AA6" w:rsidRPr="00C4719C" w14:paraId="0AE7777E" w14:textId="77777777" w:rsidTr="00E34121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69E58C23" w14:textId="77777777" w:rsidR="00D16AA6" w:rsidRPr="002D04F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E0B7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4302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B55A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F8E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6B3D06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F878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F9DD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1)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6F96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9C18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7C20FD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10FA03CB" w14:textId="77777777" w:rsidTr="00E34121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6CDFC6F5" w14:textId="77777777" w:rsidR="00D16AA6" w:rsidRPr="002D04F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088F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304D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D337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5E7B94F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EF84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FA1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2)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4C60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CEE0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57552E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781BFB43" w14:textId="77777777" w:rsidTr="00E34121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62704C1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4549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EFCB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14DE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ED729F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2547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ED11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7345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0E72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CA1417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159ABA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D16AA6" w:rsidRPr="00C4719C" w14:paraId="448F2A1D" w14:textId="77777777" w:rsidTr="00E34121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64833D5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4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F4B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A322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C17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0BE6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551A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A648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EBE3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24135E6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16187D6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</w:tc>
      </w:tr>
      <w:tr w:rsidR="00D16AA6" w:rsidRPr="00C4719C" w14:paraId="3226291E" w14:textId="77777777" w:rsidTr="00E34121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434F6AA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3567"/>
            <w:bookmarkEnd w:id="0"/>
            <w:bookmarkEnd w:id="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AA95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0067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4C71D" w14:textId="77777777" w:rsidR="00D16AA6" w:rsidRPr="00B725B1" w:rsidRDefault="00D16AA6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7931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3381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(cz. 3)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CB16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EF32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6B3934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39415254" w14:textId="77777777" w:rsidTr="00E34121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7D043651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4BA23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59C2B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4F417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1D4E15D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65972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27C7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CF46E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9F29C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Stargardzie</w:t>
            </w:r>
            <w:proofErr w:type="spellEnd"/>
          </w:p>
          <w:p w14:paraId="34CD0B90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</w:tc>
      </w:tr>
      <w:tr w:rsidR="00D16AA6" w:rsidRPr="00C4719C" w14:paraId="1B7BD768" w14:textId="77777777" w:rsidTr="00E34121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1A00312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9608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F6A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7ACC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BEE7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4397159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4A9C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1582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EF65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136CD68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E9CA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D16AA6" w:rsidRPr="00C4719C" w14:paraId="1AC5289D" w14:textId="77777777" w:rsidTr="00E34121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7903817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B173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6500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EFF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BB7D0A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EB5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102B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1D53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697E45D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802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bookmarkEnd w:id="3"/>
      <w:tr w:rsidR="00D16AA6" w:rsidRPr="00C4719C" w14:paraId="58B50B56" w14:textId="77777777" w:rsidTr="00E34121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18B3D27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E31B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6177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E1B5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7C0C023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EE75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E580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1 )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34FB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61D9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9B9D1D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D16AA6" w:rsidRPr="00C4719C" w14:paraId="0897A828" w14:textId="77777777" w:rsidTr="00E34121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3480CC5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C073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8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E7CA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04C0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C90DDE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E372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657E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68A4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4F9A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AEA464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06FE52AC" w14:textId="77777777" w:rsidTr="00E34121">
        <w:trPr>
          <w:trHeight w:val="828"/>
        </w:trPr>
        <w:tc>
          <w:tcPr>
            <w:tcW w:w="1106" w:type="dxa"/>
            <w:vAlign w:val="center"/>
          </w:tcPr>
          <w:p w14:paraId="3D1AB23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10.02.2024</w:t>
            </w:r>
          </w:p>
        </w:tc>
        <w:bookmarkEnd w:id="4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3BDD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70DD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D88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79F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72A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FA24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0377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F0C64E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9881D9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5E3960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3E45F340" w14:textId="77777777" w:rsidTr="00E34121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65B64DB3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FB53B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84CCF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779C3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7228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381A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1FF3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8E47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C02140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6C840F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B71228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3C0A8B00" w14:textId="77777777" w:rsidTr="00E34121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1C91BB3D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8D699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D7157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1F492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2FF9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D405F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B38FC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5BF1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13FA66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1DF6BE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3A3B88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5C901283" w14:textId="77777777" w:rsidTr="00E34121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7B835A7C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33EEE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22247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9D455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3B938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54208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F896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7578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154AE8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8B75F0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DC4A8E4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552DBB43" w14:textId="77777777" w:rsidTr="00E34121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1E2303B5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2019C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482C2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1216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7A603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8C0FF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0AC82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6E81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1D1C34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73DFC6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0089AF7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4FED8C69" w14:textId="77777777" w:rsidTr="00E34121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5675E8C2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3824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97281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A85E6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F8386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83A6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8429C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0233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A3552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F05F1F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2213B53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7684FAB3" w14:textId="77777777" w:rsidTr="00E34121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673066E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84C5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6583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2F3F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9C56D1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6236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A0F4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8C1E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4662993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CFA4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543B003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D16AA6" w:rsidRPr="00C4719C" w14:paraId="6F8EC08E" w14:textId="77777777" w:rsidTr="00E34121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66929D5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BC7D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E286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17C3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A083B8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07E3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5D0A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3638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487CF97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C485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F0FFB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D16AA6" w:rsidRPr="00C4719C" w14:paraId="120BB874" w14:textId="77777777" w:rsidTr="00E34121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527E06D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843E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31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12BA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F3B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D08A13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DCBF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6AEC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dłużników/wierzyciel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BDF4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1C90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0095B9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B725B1">
              <w:rPr>
                <w:rFonts w:eastAsia="Helvetica"/>
                <w:sz w:val="16"/>
                <w:szCs w:val="16"/>
              </w:rPr>
              <w:t>dr Zbigniew Olech</w:t>
            </w:r>
          </w:p>
        </w:tc>
      </w:tr>
      <w:tr w:rsidR="00D16AA6" w:rsidRPr="00C4719C" w14:paraId="4399060E" w14:textId="77777777" w:rsidTr="00E34121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66AFF2A2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C2F69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37A9B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34D45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83C6A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Times New Roman Bold"/>
                <w:color w:val="000000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27B03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5E706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CAF37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116AA940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43EBAEAD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D16AA6" w:rsidRPr="00C4719C" w14:paraId="4AD074CB" w14:textId="77777777" w:rsidTr="00E34121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608A0D7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2976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6D46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E938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DCF4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488B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EA73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263D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17BD0E0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16AA6" w:rsidRPr="00C4719C" w14:paraId="4349A0B7" w14:textId="77777777" w:rsidTr="00E34121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3A1D5D73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6C61E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B2F5D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4BAAE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A9262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E861A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Kodeks Cywilny i ustawy okołokodeksowe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B7EBE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A1D0E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Krzysztof Bartnik</w:t>
            </w:r>
          </w:p>
        </w:tc>
      </w:tr>
      <w:tr w:rsidR="00D16AA6" w:rsidRPr="00C4719C" w14:paraId="5E7C3E0A" w14:textId="77777777" w:rsidTr="00E34121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7AA7656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AAB0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403432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F76B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A488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CA81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8BC9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8B97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FC95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B7B266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6DBC8E1A" w14:textId="77777777" w:rsidTr="00E34121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5F64E79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468A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0041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8F6D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34B5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DEDE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Gospodarka komunalna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D3BB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9CD0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84B59B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668E6E21" w14:textId="77777777" w:rsidTr="00E34121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75A45B2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D92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81724"/>
            <w:bookmarkEnd w:id="6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08B9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8A79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A72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40FD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152B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E667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22D70A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47311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A34618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029D8A23" w14:textId="77777777" w:rsidTr="00E34121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0123CC0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A21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5817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4BC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C0F3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1CAB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9A3D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0650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DF735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357946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E4690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66ED37C6" w14:textId="77777777" w:rsidTr="00E34121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70C8FF5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9516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5ADD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A285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B077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978D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A4D4F3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4773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1BDBC4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D16AA6" w:rsidRPr="00C4719C" w14:paraId="5C4030E5" w14:textId="77777777" w:rsidTr="00E34121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35819F6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35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D995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57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0BE2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C6C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F6B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A027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DC6C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0A76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C23CB4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43B267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8"/>
      <w:tr w:rsidR="00D16AA6" w:rsidRPr="00C4719C" w14:paraId="02469EA2" w14:textId="77777777" w:rsidTr="00E34121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25A0B6D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2C39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A39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EBDF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62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851D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Zasady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nabywania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nieruchomości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przez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cudzoziemców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. 2)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8E51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8CB7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4DE26B9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D16AA6" w:rsidRPr="00C4719C" w14:paraId="0772CDB4" w14:textId="77777777" w:rsidTr="00E34121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6A405C5B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3EF0B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65D9F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29ACA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9254E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8E6B8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0254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E100E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56EAC41F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D16AA6" w:rsidRPr="00C4719C" w14:paraId="4F173C53" w14:textId="77777777" w:rsidTr="00E34121">
        <w:trPr>
          <w:trHeight w:val="192"/>
        </w:trPr>
        <w:tc>
          <w:tcPr>
            <w:tcW w:w="1106" w:type="dxa"/>
            <w:vAlign w:val="center"/>
          </w:tcPr>
          <w:p w14:paraId="5A4A303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8357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431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2A4F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083B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920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1AC8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48CA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36070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8B7FE9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5AED46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4ABAF4D8" w14:textId="77777777" w:rsidTr="00E34121">
        <w:trPr>
          <w:trHeight w:val="418"/>
        </w:trPr>
        <w:tc>
          <w:tcPr>
            <w:tcW w:w="1106" w:type="dxa"/>
            <w:vAlign w:val="center"/>
          </w:tcPr>
          <w:p w14:paraId="49720BF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1544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AE9F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1E6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0B99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DD3B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4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EF95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0D98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806A06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14499D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CD86D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4CA7BE1C" w14:textId="77777777" w:rsidTr="00E34121">
        <w:trPr>
          <w:trHeight w:val="753"/>
        </w:trPr>
        <w:tc>
          <w:tcPr>
            <w:tcW w:w="1106" w:type="dxa"/>
            <w:vAlign w:val="center"/>
          </w:tcPr>
          <w:p w14:paraId="014FE8C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0BEE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1713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83C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4E6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4276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86DA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3E50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6285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6DC57F0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D16AA6" w:rsidRPr="00C4719C" w14:paraId="70D0441B" w14:textId="77777777" w:rsidTr="00E34121">
        <w:trPr>
          <w:trHeight w:val="628"/>
        </w:trPr>
        <w:tc>
          <w:tcPr>
            <w:tcW w:w="1106" w:type="dxa"/>
            <w:vAlign w:val="center"/>
          </w:tcPr>
          <w:p w14:paraId="5A350E6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4955385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6D4F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50D7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E3E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ED66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54A5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własności lokali - Wspólnoty mieszkaniowe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2131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2721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bookmarkEnd w:id="11"/>
      <w:tr w:rsidR="00D16AA6" w:rsidRPr="00C4719C" w14:paraId="39C3DB3A" w14:textId="77777777" w:rsidTr="00E34121">
        <w:trPr>
          <w:trHeight w:val="473"/>
        </w:trPr>
        <w:tc>
          <w:tcPr>
            <w:tcW w:w="1106" w:type="dxa"/>
            <w:vAlign w:val="center"/>
          </w:tcPr>
          <w:p w14:paraId="00D1B8F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1D0F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B846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255F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9BDD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B01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8941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70A4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A3302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17AE52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B6616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21FF8BDF" w14:textId="77777777" w:rsidTr="00E34121">
        <w:trPr>
          <w:trHeight w:val="370"/>
        </w:trPr>
        <w:tc>
          <w:tcPr>
            <w:tcW w:w="1106" w:type="dxa"/>
            <w:vAlign w:val="center"/>
          </w:tcPr>
          <w:p w14:paraId="29BE10F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EC0B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3B0D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37D2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5D7C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2C7A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12E0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F816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145BD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713C72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CD108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3EC1A63C" w14:textId="77777777" w:rsidTr="00E34121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63A59D6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4B63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403433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F132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DA6D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6556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64AD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1394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FEB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12C623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357191E0" w14:textId="77777777" w:rsidTr="00E34121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2613311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bookmarkEnd w:id="1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F7C1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BA2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93EC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B553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17D9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BFCC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dochodowym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osób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fizycznych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DEA0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6A074F1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D16AA6" w:rsidRPr="00C4719C" w14:paraId="17482657" w14:textId="77777777" w:rsidTr="00E34121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60F60F8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E56A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F2FB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552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A9DC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472C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403B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EC7E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D16AA6" w:rsidRPr="00C4719C" w14:paraId="0891F652" w14:textId="77777777" w:rsidTr="00E34121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45F3924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305336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69E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58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DF6D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46E7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114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63A7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DBC2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6E9D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1B5011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7F7CD7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13"/>
      <w:tr w:rsidR="00D16AA6" w:rsidRPr="00C4719C" w14:paraId="2A6A28E1" w14:textId="77777777" w:rsidTr="00E34121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62A3621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6A59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34356"/>
            <w:bookmarkEnd w:id="14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0D5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7A66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6BBC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F36F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Nowelizacja Kodeksu postępowania cywilnego oraz koszty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D2C0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656ED12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A790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4E182F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32919BF5" w14:textId="77777777" w:rsidTr="00E34121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45AF0FD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bookmarkEnd w:id="1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F653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C204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FA12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5E8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592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F339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C228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00608E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D16AA6" w:rsidRPr="00C4719C" w14:paraId="728123B0" w14:textId="77777777" w:rsidTr="00E34121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1718C57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C60A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52BF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4137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AD42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9D0E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2DF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06D4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6BECB24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D16AA6" w:rsidRPr="00C4719C" w14:paraId="2D44ED6B" w14:textId="77777777" w:rsidTr="00E34121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5F43108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E9D3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C5A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7A75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BF6D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8A8E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5C02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95E2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33ADCAA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16AA6" w:rsidRPr="00FD71CE" w14:paraId="64170638" w14:textId="77777777" w:rsidTr="00E34121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4854FFE8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A3F8B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4B6A6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E195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E04D2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B126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7D5E0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4A86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8DD297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78CC75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C76FC1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FD71CE" w14:paraId="3F839051" w14:textId="77777777" w:rsidTr="00E34121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62567AA4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DFCA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505AD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787A7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BE849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B1175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A6A5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EC9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D1274C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816EB0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2436B99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FD71CE" w14:paraId="4E07D63C" w14:textId="77777777" w:rsidTr="00E34121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3544550F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FEDEE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76FE4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7303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53D96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89B4E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AC3E5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A09C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F24D14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27CA7E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41CAA4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FD71CE" w14:paraId="1EAEF256" w14:textId="77777777" w:rsidTr="00E34121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1DB2A1C7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50AEF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6325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540A1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D578D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487D3" w14:textId="77777777" w:rsidR="00D16AA6" w:rsidRPr="007170A4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B8E0F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5983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A5D236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22369A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98F9AC" w14:textId="77777777" w:rsidR="00D16AA6" w:rsidRPr="00FD71CE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18200430" w14:textId="77777777" w:rsidTr="00E34121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38937F3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4671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42F8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03B2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9998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4053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9171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9020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D16AA6" w:rsidRPr="00C4719C" w14:paraId="30E6E67B" w14:textId="77777777" w:rsidTr="00E34121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1F4D7517" w14:textId="77777777" w:rsidR="00D16AA6" w:rsidRPr="000269B2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6" w:name="_Hlk53053378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AA0D" w14:textId="77777777" w:rsidR="00D16AA6" w:rsidRPr="000269B2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7" w:name="_Hlk24033593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5A57D" w14:textId="77777777" w:rsidR="00D16AA6" w:rsidRPr="000269B2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A947B" w14:textId="77777777" w:rsidR="00D16AA6" w:rsidRPr="000269B2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F3E5A" w14:textId="77777777" w:rsidR="00D16AA6" w:rsidRPr="000269B2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7CC5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7616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F810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</w:tc>
      </w:tr>
      <w:tr w:rsidR="00D16AA6" w:rsidRPr="00C4719C" w14:paraId="79C430E4" w14:textId="77777777" w:rsidTr="00E34121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2524C1D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4089619"/>
            <w:bookmarkEnd w:id="16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bookmarkEnd w:id="1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D480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1C04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9A44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F2A4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4D4E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7B0B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B1A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9A4FE7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D16AA6" w:rsidRPr="00C4719C" w14:paraId="3457C783" w14:textId="77777777" w:rsidTr="00E34121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7694841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4099375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CBB3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77B8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BEE7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458636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A899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170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ADA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0C36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0EC4F0D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18"/>
      <w:bookmarkEnd w:id="19"/>
      <w:tr w:rsidR="00D16AA6" w:rsidRPr="00C4719C" w14:paraId="5A6AEB47" w14:textId="77777777" w:rsidTr="00E34121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268DC5E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E1C8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9AA0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DA5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3ACF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07C7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2D1A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2660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7A423EA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16AA6" w:rsidRPr="00C4719C" w14:paraId="41B3575E" w14:textId="77777777" w:rsidTr="00E34121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52D0F5C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2D91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E5D5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F5EE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848F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2FF8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67F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3AD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CDD26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80C9F8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750615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D16AA6" w:rsidRPr="00C4719C" w14:paraId="6328717E" w14:textId="77777777" w:rsidTr="00E34121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182B884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59203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8623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927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8533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E48F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2049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7256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255E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69754D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69DA91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96CEF6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519247BE" w14:textId="77777777" w:rsidTr="00E34121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2196E86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1322"/>
            <w:bookmarkEnd w:id="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DC9E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65AC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5A4A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4BA9F654" w14:textId="77777777" w:rsidR="00D16AA6" w:rsidRPr="00C4719C" w:rsidRDefault="00D16AA6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BCAC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E50F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3E69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151A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1006024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16AA6" w:rsidRPr="002B6ADF" w14:paraId="1D2E7EE9" w14:textId="77777777" w:rsidTr="00E34121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73D717B7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4262235"/>
            <w:bookmarkEnd w:id="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5C390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C3D5B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AC84B" w14:textId="77777777" w:rsidR="00D16AA6" w:rsidRPr="002B6ADF" w:rsidRDefault="00D16AA6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29EDF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7846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3F629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786D9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40CE15D" w14:textId="77777777" w:rsidR="00D16AA6" w:rsidRPr="002B6ADF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2"/>
      <w:tr w:rsidR="00D16AA6" w:rsidRPr="00C4719C" w14:paraId="07D992D5" w14:textId="77777777" w:rsidTr="00E34121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1BC7671F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BC5C3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24023245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E97D7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3F051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72BC5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6DDF6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E0573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3F9DF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Zastępca Notarialny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Marcin Relski</w:t>
            </w:r>
          </w:p>
          <w:p w14:paraId="0135CBD6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D16AA6" w:rsidRPr="00C4719C" w14:paraId="64E290CB" w14:textId="77777777" w:rsidTr="00E34121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40E2B0C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30533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5690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33601"/>
            <w:bookmarkEnd w:id="2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E45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6E3A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855C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FCAD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B87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F4CA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F0B741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571414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4"/>
      <w:tr w:rsidR="00D16AA6" w:rsidRPr="00C4719C" w14:paraId="762747F7" w14:textId="77777777" w:rsidTr="00E34121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62D99E93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bookmarkEnd w:id="2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55DA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6608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1EFD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BBC7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8F5A5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4966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BCB7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CA1F8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D16AA6" w:rsidRPr="00C4719C" w14:paraId="76EFB3D6" w14:textId="77777777" w:rsidTr="00E34121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5C00C01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6522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B730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96002" w14:textId="77777777" w:rsidR="00D16AA6" w:rsidRPr="00C4719C" w:rsidRDefault="00D16AA6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5260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10407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47BC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E39AB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1738E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D16AA6" w:rsidRPr="00C4719C" w14:paraId="2C43C9B3" w14:textId="77777777" w:rsidTr="00E34121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64D30D7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9018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435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0AD1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CF33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B771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gospodarczej 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4C60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F0E5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495A76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16AA6" w:rsidRPr="00C4719C" w14:paraId="1113E041" w14:textId="77777777" w:rsidTr="00E34121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3F9DA32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9FCA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F079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3BD3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DF29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16DD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A8A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40C2E1B0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900A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647B70E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6EA6D3A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D16AA6" w:rsidRPr="00C4719C" w14:paraId="085B58D1" w14:textId="77777777" w:rsidTr="00E34121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428EE4DF" w14:textId="77777777" w:rsidR="00D16AA6" w:rsidRPr="00674C79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05340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F0EE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AE61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8FEA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E3CC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DD47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D9C7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985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C79E96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BFCB29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D16AA6" w:rsidRPr="00C4719C" w14:paraId="2D6B1F17" w14:textId="77777777" w:rsidTr="00E34121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336B123C" w14:textId="77777777" w:rsidR="00D16AA6" w:rsidRPr="00674C79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54099439"/>
            <w:bookmarkEnd w:id="2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7462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A8B5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0BEF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1AB815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ED95B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5223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F887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3960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202E5B2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27"/>
      <w:tr w:rsidR="00D16AA6" w:rsidRPr="00C4719C" w14:paraId="5DFD6A13" w14:textId="77777777" w:rsidTr="00E34121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019472E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7B3B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68A7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AB66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41F4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FBD1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59883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890F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Miasta</w:t>
            </w:r>
            <w:proofErr w:type="spellEnd"/>
          </w:p>
          <w:p w14:paraId="6E3E101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</w:tc>
      </w:tr>
      <w:tr w:rsidR="00D16AA6" w:rsidRPr="00C4719C" w14:paraId="5E8CF020" w14:textId="77777777" w:rsidTr="00E34121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5DDB3BA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30534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A2C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9" w:name="_Hlk2403360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49F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085F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035C4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B5C5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37CE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B1C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624259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3C3186E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D16AA6" w:rsidRPr="00061D71" w14:paraId="252E2CB1" w14:textId="77777777" w:rsidTr="00E34121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5FE4F65B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3494959"/>
            <w:bookmarkEnd w:id="2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bookmarkEnd w:id="2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BEF20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1984F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CE7F1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AC8D6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7B41A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14C0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9D248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2604E767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D16AA6" w:rsidRPr="00061D71" w14:paraId="361F424A" w14:textId="77777777" w:rsidTr="00E34121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777546B5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687BC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22C6A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E8E50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688E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5F318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9B96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CA85A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41535CE3" w14:textId="77777777" w:rsidR="00D16AA6" w:rsidRPr="00061D7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D16AA6" w:rsidRPr="00C4719C" w14:paraId="47733BA7" w14:textId="77777777" w:rsidTr="00E34121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683ED1D8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537D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196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B55E5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B103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A595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Prokura i zarządca sukcesyjny 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2112F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A02DA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590C49A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D16AA6" w:rsidRPr="00C4719C" w14:paraId="0AA15654" w14:textId="77777777" w:rsidTr="00E34121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2AC44C49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53053416"/>
            <w:bookmarkEnd w:id="3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F657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2AA6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E06C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258F7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CB6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6254D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1C560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412DF2E1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ACB7702" w14:textId="77777777" w:rsidR="00D16AA6" w:rsidRPr="00B725B1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1"/>
      <w:tr w:rsidR="00D16AA6" w:rsidRPr="00C4719C" w14:paraId="3991A027" w14:textId="77777777" w:rsidTr="00E34121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6A799CB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291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96D04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81BB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C904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7C83C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9AE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8B2E2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538AE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70585A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9E46208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16AA6" w:rsidRPr="00C4719C" w14:paraId="44DA86BD" w14:textId="77777777" w:rsidTr="00E34121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22B9CA7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1576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C237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A412A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29811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07ECF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D96FE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64A8D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6C66F539" w14:textId="77777777" w:rsidR="00D16AA6" w:rsidRPr="00C4719C" w:rsidRDefault="00D16AA6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</w:tbl>
    <w:p w14:paraId="0E6FE465" w14:textId="77777777" w:rsidR="00D16AA6" w:rsidRPr="00076854" w:rsidRDefault="00D16AA6" w:rsidP="00076854">
      <w:pPr>
        <w:tabs>
          <w:tab w:val="left" w:pos="567"/>
        </w:tabs>
        <w:spacing w:line="276" w:lineRule="auto"/>
        <w:ind w:left="0" w:firstLine="0"/>
        <w:rPr>
          <w:rFonts w:ascii="Cambria" w:hAnsi="Cambria"/>
          <w:sz w:val="22"/>
          <w:szCs w:val="22"/>
        </w:rPr>
        <w:sectPr w:rsidR="00D16AA6" w:rsidRPr="00076854" w:rsidSect="00CF5E49">
          <w:headerReference w:type="default" r:id="rId5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34586A00" w14:textId="77777777" w:rsidR="00DD27F5" w:rsidRDefault="00DD27F5" w:rsidP="00076854">
      <w:pPr>
        <w:ind w:left="0" w:firstLine="0"/>
      </w:pPr>
    </w:p>
    <w:sectPr w:rsidR="00DD27F5" w:rsidSect="00D16A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7599A119" w14:textId="77777777" w:rsidR="00000000" w:rsidRPr="00406315" w:rsidRDefault="00000000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32</w:t>
        </w:r>
        <w:r w:rsidRPr="00406315">
          <w:rPr>
            <w:rFonts w:ascii="Cambria" w:hAnsi="Cambria"/>
          </w:rPr>
          <w:fldChar w:fldCharType="end"/>
        </w:r>
      </w:p>
    </w:sdtContent>
  </w:sdt>
  <w:p w14:paraId="21C634F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69626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875771">
    <w:abstractNumId w:val="26"/>
  </w:num>
  <w:num w:numId="3" w16cid:durableId="1093284271">
    <w:abstractNumId w:val="7"/>
  </w:num>
  <w:num w:numId="4" w16cid:durableId="390202022">
    <w:abstractNumId w:val="13"/>
  </w:num>
  <w:num w:numId="5" w16cid:durableId="534774534">
    <w:abstractNumId w:val="18"/>
  </w:num>
  <w:num w:numId="6" w16cid:durableId="1042251091">
    <w:abstractNumId w:val="16"/>
  </w:num>
  <w:num w:numId="7" w16cid:durableId="581718372">
    <w:abstractNumId w:val="10"/>
  </w:num>
  <w:num w:numId="8" w16cid:durableId="1130637387">
    <w:abstractNumId w:val="2"/>
  </w:num>
  <w:num w:numId="9" w16cid:durableId="662123441">
    <w:abstractNumId w:val="21"/>
  </w:num>
  <w:num w:numId="10" w16cid:durableId="1050109034">
    <w:abstractNumId w:val="28"/>
  </w:num>
  <w:num w:numId="11" w16cid:durableId="949552530">
    <w:abstractNumId w:val="35"/>
  </w:num>
  <w:num w:numId="12" w16cid:durableId="432474703">
    <w:abstractNumId w:val="20"/>
  </w:num>
  <w:num w:numId="13" w16cid:durableId="960304885">
    <w:abstractNumId w:val="5"/>
  </w:num>
  <w:num w:numId="14" w16cid:durableId="1937664496">
    <w:abstractNumId w:val="30"/>
  </w:num>
  <w:num w:numId="15" w16cid:durableId="634065371">
    <w:abstractNumId w:val="12"/>
  </w:num>
  <w:num w:numId="16" w16cid:durableId="1345935876">
    <w:abstractNumId w:val="40"/>
  </w:num>
  <w:num w:numId="17" w16cid:durableId="1844935151">
    <w:abstractNumId w:val="31"/>
  </w:num>
  <w:num w:numId="18" w16cid:durableId="1897467889">
    <w:abstractNumId w:val="6"/>
  </w:num>
  <w:num w:numId="19" w16cid:durableId="795441406">
    <w:abstractNumId w:val="29"/>
  </w:num>
  <w:num w:numId="20" w16cid:durableId="1412308522">
    <w:abstractNumId w:val="4"/>
  </w:num>
  <w:num w:numId="21" w16cid:durableId="1513255067">
    <w:abstractNumId w:val="11"/>
  </w:num>
  <w:num w:numId="22" w16cid:durableId="561142453">
    <w:abstractNumId w:val="34"/>
  </w:num>
  <w:num w:numId="23" w16cid:durableId="1638490676">
    <w:abstractNumId w:val="33"/>
  </w:num>
  <w:num w:numId="24" w16cid:durableId="1219248457">
    <w:abstractNumId w:val="41"/>
  </w:num>
  <w:num w:numId="25" w16cid:durableId="168717139">
    <w:abstractNumId w:val="8"/>
  </w:num>
  <w:num w:numId="26" w16cid:durableId="300619881">
    <w:abstractNumId w:val="25"/>
  </w:num>
  <w:num w:numId="27" w16cid:durableId="677928792">
    <w:abstractNumId w:val="22"/>
  </w:num>
  <w:num w:numId="28" w16cid:durableId="108668147">
    <w:abstractNumId w:val="27"/>
  </w:num>
  <w:num w:numId="29" w16cid:durableId="46227850">
    <w:abstractNumId w:val="9"/>
  </w:num>
  <w:num w:numId="30" w16cid:durableId="1141116253">
    <w:abstractNumId w:val="0"/>
  </w:num>
  <w:num w:numId="31" w16cid:durableId="1362439850">
    <w:abstractNumId w:val="39"/>
  </w:num>
  <w:num w:numId="32" w16cid:durableId="102190737">
    <w:abstractNumId w:val="1"/>
  </w:num>
  <w:num w:numId="33" w16cid:durableId="1200388963">
    <w:abstractNumId w:val="17"/>
  </w:num>
  <w:num w:numId="34" w16cid:durableId="484786365">
    <w:abstractNumId w:val="3"/>
  </w:num>
  <w:num w:numId="35" w16cid:durableId="456265734">
    <w:abstractNumId w:val="32"/>
  </w:num>
  <w:num w:numId="36" w16cid:durableId="149830972">
    <w:abstractNumId w:val="37"/>
  </w:num>
  <w:num w:numId="37" w16cid:durableId="2138330884">
    <w:abstractNumId w:val="36"/>
  </w:num>
  <w:num w:numId="38" w16cid:durableId="1338507651">
    <w:abstractNumId w:val="14"/>
  </w:num>
  <w:num w:numId="39" w16cid:durableId="816728636">
    <w:abstractNumId w:val="24"/>
  </w:num>
  <w:num w:numId="40" w16cid:durableId="648824702">
    <w:abstractNumId w:val="19"/>
  </w:num>
  <w:num w:numId="41" w16cid:durableId="473066506">
    <w:abstractNumId w:val="38"/>
  </w:num>
  <w:num w:numId="42" w16cid:durableId="5227852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A6"/>
    <w:rsid w:val="00076854"/>
    <w:rsid w:val="00D16AA6"/>
    <w:rsid w:val="00D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C31"/>
  <w15:chartTrackingRefBased/>
  <w15:docId w15:val="{36E1AFFF-EC54-4D0F-9670-E2BB079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AA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6AA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A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6AA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D16AA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16AA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A6"/>
    <w:rPr>
      <w:rFonts w:ascii="Times New Roman" w:eastAsia="Calibri" w:hAnsi="Times New Roman" w:cs="Times New Roman"/>
      <w:b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16AA6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16AA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16AA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16AA6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A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16AA6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D16AA6"/>
  </w:style>
  <w:style w:type="paragraph" w:styleId="NormalnyWeb">
    <w:name w:val="Normal (Web)"/>
    <w:basedOn w:val="Normalny"/>
    <w:uiPriority w:val="99"/>
    <w:unhideWhenUsed/>
    <w:rsid w:val="00D16AA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6AA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16AA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16AA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16AA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16AA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D16AA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D16AA6"/>
    <w:rPr>
      <w:rFonts w:ascii="Calibri" w:eastAsia="Calibri" w:hAnsi="Calibri" w:cs="Times New Roman"/>
      <w:kern w:val="0"/>
      <w14:ligatures w14:val="none"/>
    </w:rPr>
  </w:style>
  <w:style w:type="character" w:customStyle="1" w:styleId="contact-name">
    <w:name w:val="contact-name"/>
    <w:basedOn w:val="Domylnaczcionkaakapitu"/>
    <w:rsid w:val="00D16A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A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A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kern w:val="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D16A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A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A6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D16AA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6AA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6AA6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6AA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6AA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D16AA6"/>
  </w:style>
  <w:style w:type="character" w:styleId="Hipercze">
    <w:name w:val="Hyperlink"/>
    <w:rsid w:val="00D16AA6"/>
    <w:rPr>
      <w:u w:val="single"/>
    </w:rPr>
  </w:style>
  <w:style w:type="table" w:customStyle="1" w:styleId="TableNormal">
    <w:name w:val="Table Normal"/>
    <w:rsid w:val="00D16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D16AA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Default">
    <w:name w:val="Default"/>
    <w:rsid w:val="00D16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customStyle="1" w:styleId="Styltabeli2">
    <w:name w:val="Styl tabeli 2"/>
    <w:rsid w:val="00D16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eastAsia="pl-PL"/>
      <w14:ligatures w14:val="none"/>
    </w:rPr>
  </w:style>
  <w:style w:type="paragraph" w:customStyle="1" w:styleId="Tre">
    <w:name w:val="Treść"/>
    <w:rsid w:val="00D16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pl-PL"/>
      <w14:ligatures w14:val="none"/>
    </w:rPr>
  </w:style>
  <w:style w:type="paragraph" w:styleId="Bezodstpw">
    <w:name w:val="No Spacing"/>
    <w:uiPriority w:val="1"/>
    <w:qFormat/>
    <w:rsid w:val="00D16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de-DE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D16AA6"/>
  </w:style>
  <w:style w:type="numbering" w:customStyle="1" w:styleId="Bezlisty3">
    <w:name w:val="Bez listy3"/>
    <w:next w:val="Bezlisty"/>
    <w:uiPriority w:val="99"/>
    <w:semiHidden/>
    <w:unhideWhenUsed/>
    <w:rsid w:val="00D1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3834</Words>
  <Characters>23005</Characters>
  <Application>Microsoft Office Word</Application>
  <DocSecurity>0</DocSecurity>
  <Lines>191</Lines>
  <Paragraphs>53</Paragraphs>
  <ScaleCrop>false</ScaleCrop>
  <Company/>
  <LinksUpToDate>false</LinksUpToDate>
  <CharactersWithSpaces>26786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2</cp:revision>
  <dcterms:created xsi:type="dcterms:W3CDTF">2023-12-15T11:54:00Z</dcterms:created>
  <dcterms:modified xsi:type="dcterms:W3CDTF">2023-12-15T11:55:00Z</dcterms:modified>
</cp:coreProperties>
</file>